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CA" w:rsidRDefault="004561CA">
      <w:pPr>
        <w:rPr>
          <w:b/>
          <w:sz w:val="24"/>
        </w:rPr>
      </w:pPr>
      <w:proofErr w:type="gramStart"/>
      <w:r>
        <w:rPr>
          <w:b/>
          <w:sz w:val="24"/>
        </w:rPr>
        <w:t>Exercise 4.3.</w:t>
      </w:r>
      <w:proofErr w:type="gramEnd"/>
    </w:p>
    <w:p w:rsidR="00DD216F" w:rsidRDefault="00293795">
      <w:pPr>
        <w:rPr>
          <w:b/>
          <w:sz w:val="24"/>
        </w:rPr>
      </w:pPr>
      <w:r w:rsidRPr="002D72DB">
        <w:rPr>
          <w:b/>
          <w:sz w:val="24"/>
        </w:rPr>
        <w:t xml:space="preserve">Benchmarking using IMF’s XLPBM </w:t>
      </w:r>
      <w:r w:rsidR="004561CA">
        <w:rPr>
          <w:b/>
          <w:sz w:val="24"/>
        </w:rPr>
        <w:t>excel add-in or excel embedded macro (BENCH)</w:t>
      </w:r>
    </w:p>
    <w:p w:rsidR="00293795" w:rsidRPr="00293795" w:rsidRDefault="00293795">
      <w:pPr>
        <w:rPr>
          <w:b/>
        </w:rPr>
      </w:pPr>
      <w:r w:rsidRPr="00293795">
        <w:rPr>
          <w:b/>
        </w:rPr>
        <w:t>Overview</w:t>
      </w:r>
    </w:p>
    <w:p w:rsidR="00293795" w:rsidRDefault="00293795" w:rsidP="004561CA">
      <w:r>
        <w:t xml:space="preserve">This is a practice session in the use of the IMF’s XLPBM benchmarking </w:t>
      </w:r>
      <w:r w:rsidR="0002712D">
        <w:t>software.</w:t>
      </w:r>
      <w:r w:rsidR="002D72DB">
        <w:t xml:space="preserve"> </w:t>
      </w:r>
      <w:r>
        <w:t>There are 3 parts:</w:t>
      </w:r>
    </w:p>
    <w:p w:rsidR="00293795" w:rsidRDefault="00293795" w:rsidP="00293795">
      <w:pPr>
        <w:pStyle w:val="ListParagraph"/>
        <w:numPr>
          <w:ilvl w:val="0"/>
          <w:numId w:val="1"/>
        </w:numPr>
      </w:pPr>
      <w:r>
        <w:t>Benchmarking a quarterly indicator to an annual series</w:t>
      </w:r>
    </w:p>
    <w:p w:rsidR="00293795" w:rsidRDefault="00293795" w:rsidP="00293795">
      <w:pPr>
        <w:pStyle w:val="ListParagraph"/>
        <w:numPr>
          <w:ilvl w:val="0"/>
          <w:numId w:val="1"/>
        </w:numPr>
      </w:pPr>
      <w:r>
        <w:t>Benchmarking an annual deflator to a quarterly price series</w:t>
      </w:r>
    </w:p>
    <w:p w:rsidR="00293795" w:rsidRDefault="00293795" w:rsidP="00293795">
      <w:pPr>
        <w:pStyle w:val="ListParagraph"/>
        <w:numPr>
          <w:ilvl w:val="0"/>
          <w:numId w:val="1"/>
        </w:numPr>
      </w:pPr>
      <w:r>
        <w:t>Using XLPBM to spline an annual series (using both a simple spline and a seasonal spline).</w:t>
      </w:r>
    </w:p>
    <w:p w:rsidR="00293795" w:rsidRPr="00293795" w:rsidRDefault="00293795" w:rsidP="00293795">
      <w:pPr>
        <w:rPr>
          <w:b/>
        </w:rPr>
      </w:pPr>
      <w:r w:rsidRPr="00293795">
        <w:rPr>
          <w:b/>
        </w:rPr>
        <w:t>Detail</w:t>
      </w:r>
    </w:p>
    <w:p w:rsidR="00293795" w:rsidRPr="00716F57" w:rsidRDefault="00293795" w:rsidP="00293795">
      <w:pPr>
        <w:rPr>
          <w:b/>
          <w:i/>
        </w:rPr>
      </w:pPr>
      <w:r w:rsidRPr="00716F57">
        <w:rPr>
          <w:b/>
          <w:i/>
        </w:rPr>
        <w:t>Part 1: Benchmarking a quarterly indicator to an annual series</w:t>
      </w:r>
    </w:p>
    <w:p w:rsidR="00293795" w:rsidRDefault="00391915" w:rsidP="00293795">
      <w:r>
        <w:t xml:space="preserve">You are given an annual series (‘Y’) and an indictor series (‘X’).  </w:t>
      </w:r>
    </w:p>
    <w:p w:rsidR="00391915" w:rsidRDefault="00391915" w:rsidP="00391915">
      <w:pPr>
        <w:pStyle w:val="ListParagraph"/>
        <w:numPr>
          <w:ilvl w:val="0"/>
          <w:numId w:val="2"/>
        </w:numPr>
      </w:pPr>
      <w:r>
        <w:t>Using Denton’s method, use XLPBM to produce a benchmark series for X benched to Y.  Set the B/I parameter to zero.  Plot the resulting series and the original series (‘X’).</w:t>
      </w:r>
    </w:p>
    <w:p w:rsidR="00716F57" w:rsidRDefault="00716F57" w:rsidP="00391915">
      <w:pPr>
        <w:pStyle w:val="ListParagraph"/>
        <w:numPr>
          <w:ilvl w:val="0"/>
          <w:numId w:val="2"/>
        </w:numPr>
      </w:pPr>
      <w:r>
        <w:t>Check that the sum of the BM series equals the Annual series in each year.</w:t>
      </w:r>
    </w:p>
    <w:p w:rsidR="00391915" w:rsidRDefault="00391915" w:rsidP="00391915">
      <w:pPr>
        <w:pStyle w:val="ListParagraph"/>
        <w:numPr>
          <w:ilvl w:val="0"/>
          <w:numId w:val="2"/>
        </w:numPr>
      </w:pPr>
      <w:r>
        <w:t>At the end of the series (from Q1 2016) – what is the growth in the BM series?  Why?</w:t>
      </w:r>
    </w:p>
    <w:p w:rsidR="00391915" w:rsidRDefault="00391915" w:rsidP="00391915">
      <w:pPr>
        <w:pStyle w:val="ListParagraph"/>
        <w:numPr>
          <w:ilvl w:val="0"/>
          <w:numId w:val="2"/>
        </w:numPr>
      </w:pPr>
      <w:r>
        <w:t>Try adjusting the B/I ratio (set it = 5, -5, 10).  What do you notice?  [Hint: Look at the growth rate at the end of the series]</w:t>
      </w:r>
    </w:p>
    <w:p w:rsidR="00391915" w:rsidRDefault="00391915" w:rsidP="00391915">
      <w:pPr>
        <w:pStyle w:val="ListParagraph"/>
        <w:numPr>
          <w:ilvl w:val="0"/>
          <w:numId w:val="2"/>
        </w:numPr>
      </w:pPr>
      <w:r>
        <w:t xml:space="preserve">Change the benchmark method to the </w:t>
      </w:r>
      <w:proofErr w:type="spellStart"/>
      <w:r>
        <w:t>Cholette-Dagum</w:t>
      </w:r>
      <w:proofErr w:type="spellEnd"/>
      <w:r>
        <w:t xml:space="preserve"> method.  What do you notice?</w:t>
      </w:r>
    </w:p>
    <w:p w:rsidR="00293795" w:rsidRPr="00716F57" w:rsidRDefault="00293795" w:rsidP="00293795">
      <w:pPr>
        <w:rPr>
          <w:b/>
          <w:i/>
        </w:rPr>
      </w:pPr>
      <w:r w:rsidRPr="00716F57">
        <w:rPr>
          <w:b/>
          <w:i/>
        </w:rPr>
        <w:t>Part 2: Benchmarking an annual deflator to a quarterly price series</w:t>
      </w:r>
    </w:p>
    <w:p w:rsidR="00293795" w:rsidRDefault="00716F57" w:rsidP="00293795">
      <w:r>
        <w:t xml:space="preserve">You are given an annual deflator ‘Def’ for Hotels &amp; Restaurants and a quarterly CPI series for ‘Meals Out’.  </w:t>
      </w:r>
    </w:p>
    <w:p w:rsidR="00716F57" w:rsidRDefault="00716F57" w:rsidP="00716F57">
      <w:pPr>
        <w:pStyle w:val="ListParagraph"/>
        <w:numPr>
          <w:ilvl w:val="0"/>
          <w:numId w:val="3"/>
        </w:numPr>
      </w:pPr>
      <w:r>
        <w:t>Calculate the annual CPI index.</w:t>
      </w:r>
    </w:p>
    <w:p w:rsidR="00716F57" w:rsidRDefault="00716F57" w:rsidP="00716F57">
      <w:pPr>
        <w:pStyle w:val="ListParagraph"/>
        <w:numPr>
          <w:ilvl w:val="0"/>
          <w:numId w:val="3"/>
        </w:numPr>
      </w:pPr>
      <w:r>
        <w:t xml:space="preserve">Use XLPBM </w:t>
      </w:r>
      <w:r w:rsidR="004561CA">
        <w:t xml:space="preserve">(or BENCH) </w:t>
      </w:r>
      <w:r>
        <w:t>to benchmark the CPI series to the deflator.</w:t>
      </w:r>
    </w:p>
    <w:p w:rsidR="00716F57" w:rsidRDefault="00716F57" w:rsidP="00716F57">
      <w:pPr>
        <w:pStyle w:val="ListParagraph"/>
        <w:numPr>
          <w:ilvl w:val="0"/>
          <w:numId w:val="3"/>
        </w:numPr>
      </w:pPr>
      <w:r>
        <w:t>What do you notice? What adjustment is needed to the XLPBM</w:t>
      </w:r>
      <w:r w:rsidR="004561CA">
        <w:t xml:space="preserve"> (or BENCH)</w:t>
      </w:r>
      <w:r>
        <w:t xml:space="preserve"> formula?  Why?</w:t>
      </w:r>
    </w:p>
    <w:p w:rsidR="00716F57" w:rsidRDefault="00716F57" w:rsidP="00716F57">
      <w:pPr>
        <w:pStyle w:val="ListParagraph"/>
        <w:numPr>
          <w:ilvl w:val="0"/>
          <w:numId w:val="3"/>
        </w:numPr>
      </w:pPr>
      <w:r>
        <w:t>Plot the CPI and benchmark deflator series.</w:t>
      </w:r>
    </w:p>
    <w:p w:rsidR="00293795" w:rsidRPr="00716F57" w:rsidRDefault="00293795" w:rsidP="00293795">
      <w:pPr>
        <w:rPr>
          <w:b/>
          <w:i/>
        </w:rPr>
      </w:pPr>
      <w:r w:rsidRPr="00716F57">
        <w:rPr>
          <w:b/>
          <w:i/>
        </w:rPr>
        <w:t>Part 3: Using XLPBM to spline an annual series</w:t>
      </w:r>
    </w:p>
    <w:p w:rsidR="00391915" w:rsidRDefault="00391915" w:rsidP="00391915">
      <w:r>
        <w:t xml:space="preserve">You are given </w:t>
      </w:r>
      <w:r w:rsidRPr="00391915">
        <w:t>an annual series for ISIC 1074: Manufacture of macaroni, noodles, couscous and similar farinaceous products</w:t>
      </w:r>
      <w:r w:rsidR="0070074D">
        <w:t xml:space="preserve">.  In this case there is no indicator series. </w:t>
      </w:r>
    </w:p>
    <w:p w:rsidR="0070074D" w:rsidRDefault="0070074D" w:rsidP="0070074D">
      <w:pPr>
        <w:pStyle w:val="ListParagraph"/>
        <w:numPr>
          <w:ilvl w:val="0"/>
          <w:numId w:val="4"/>
        </w:numPr>
      </w:pPr>
      <w:r>
        <w:t>Using XLPBM</w:t>
      </w:r>
      <w:r w:rsidR="004561CA">
        <w:t xml:space="preserve"> or BENCH</w:t>
      </w:r>
      <w:r w:rsidR="00994CD0">
        <w:t xml:space="preserve"> (Denton’s method)</w:t>
      </w:r>
      <w:r>
        <w:t>, calculate a simple ‘spline’ of the annual series.  How did you do this?</w:t>
      </w:r>
    </w:p>
    <w:p w:rsidR="0070074D" w:rsidRDefault="0070074D" w:rsidP="0070074D">
      <w:pPr>
        <w:pStyle w:val="ListParagraph"/>
        <w:numPr>
          <w:ilvl w:val="0"/>
          <w:numId w:val="4"/>
        </w:numPr>
      </w:pPr>
      <w:r>
        <w:t>Plot the result.</w:t>
      </w:r>
    </w:p>
    <w:p w:rsidR="0070074D" w:rsidRDefault="0070074D" w:rsidP="0070074D">
      <w:pPr>
        <w:pStyle w:val="ListParagraph"/>
        <w:numPr>
          <w:ilvl w:val="0"/>
          <w:numId w:val="4"/>
        </w:numPr>
      </w:pPr>
      <w:r>
        <w:t>If the quarterly series is assumed t</w:t>
      </w:r>
      <w:r w:rsidR="00D44128">
        <w:t>o</w:t>
      </w:r>
      <w:r>
        <w:t xml:space="preserve"> be seasonal </w:t>
      </w:r>
      <w:r w:rsidR="00D44128">
        <w:t xml:space="preserve">(for example, if it relates </w:t>
      </w:r>
      <w:r w:rsidR="0002712D">
        <w:t xml:space="preserve">to agricultural output, and we may infer it seasonality from other similar series) and </w:t>
      </w:r>
      <w:r w:rsidR="00D44128">
        <w:t xml:space="preserve">we </w:t>
      </w:r>
      <w:r w:rsidR="0002712D">
        <w:t xml:space="preserve">estimate </w:t>
      </w:r>
      <w:r w:rsidR="00D44128">
        <w:t xml:space="preserve">that </w:t>
      </w:r>
      <w:r>
        <w:t>with the following seasonal factors:</w:t>
      </w:r>
    </w:p>
    <w:tbl>
      <w:tblPr>
        <w:tblStyle w:val="TableGrid"/>
        <w:tblW w:w="0" w:type="auto"/>
        <w:tblInd w:w="720" w:type="dxa"/>
        <w:tblLook w:val="04A0"/>
      </w:tblPr>
      <w:tblGrid>
        <w:gridCol w:w="1260"/>
        <w:gridCol w:w="992"/>
      </w:tblGrid>
      <w:tr w:rsidR="0070074D" w:rsidTr="00994CD0">
        <w:tc>
          <w:tcPr>
            <w:tcW w:w="1260" w:type="dxa"/>
          </w:tcPr>
          <w:p w:rsidR="0070074D" w:rsidRDefault="0070074D" w:rsidP="0070074D">
            <w:pPr>
              <w:pStyle w:val="ListParagraph"/>
              <w:ind w:left="0"/>
            </w:pPr>
            <w:r>
              <w:t>Q1</w:t>
            </w:r>
          </w:p>
        </w:tc>
        <w:tc>
          <w:tcPr>
            <w:tcW w:w="992" w:type="dxa"/>
            <w:vAlign w:val="bottom"/>
          </w:tcPr>
          <w:p w:rsidR="0070074D" w:rsidRDefault="0070074D" w:rsidP="007007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</w:tc>
      </w:tr>
      <w:tr w:rsidR="0070074D" w:rsidTr="00994CD0">
        <w:tc>
          <w:tcPr>
            <w:tcW w:w="1260" w:type="dxa"/>
          </w:tcPr>
          <w:p w:rsidR="0070074D" w:rsidRDefault="0070074D" w:rsidP="0070074D">
            <w:pPr>
              <w:pStyle w:val="ListParagraph"/>
              <w:ind w:left="0"/>
            </w:pPr>
            <w:r>
              <w:t>Q2</w:t>
            </w:r>
          </w:p>
        </w:tc>
        <w:tc>
          <w:tcPr>
            <w:tcW w:w="992" w:type="dxa"/>
            <w:vAlign w:val="bottom"/>
          </w:tcPr>
          <w:p w:rsidR="0070074D" w:rsidRDefault="0070074D" w:rsidP="007007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</w:tr>
      <w:tr w:rsidR="0070074D" w:rsidTr="00994CD0">
        <w:tc>
          <w:tcPr>
            <w:tcW w:w="1260" w:type="dxa"/>
          </w:tcPr>
          <w:p w:rsidR="0070074D" w:rsidRDefault="0070074D" w:rsidP="0070074D">
            <w:pPr>
              <w:pStyle w:val="ListParagraph"/>
              <w:ind w:left="0"/>
            </w:pPr>
            <w:r>
              <w:t>Q3</w:t>
            </w:r>
          </w:p>
        </w:tc>
        <w:tc>
          <w:tcPr>
            <w:tcW w:w="992" w:type="dxa"/>
            <w:vAlign w:val="bottom"/>
          </w:tcPr>
          <w:p w:rsidR="0070074D" w:rsidRDefault="0070074D" w:rsidP="007007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</w:tr>
      <w:tr w:rsidR="0070074D" w:rsidTr="00994CD0">
        <w:tc>
          <w:tcPr>
            <w:tcW w:w="1260" w:type="dxa"/>
          </w:tcPr>
          <w:p w:rsidR="0070074D" w:rsidRDefault="0070074D" w:rsidP="0070074D">
            <w:pPr>
              <w:pStyle w:val="ListParagraph"/>
              <w:ind w:left="0"/>
            </w:pPr>
            <w:r>
              <w:t>Q4</w:t>
            </w:r>
          </w:p>
        </w:tc>
        <w:tc>
          <w:tcPr>
            <w:tcW w:w="992" w:type="dxa"/>
            <w:vAlign w:val="bottom"/>
          </w:tcPr>
          <w:p w:rsidR="0070074D" w:rsidRDefault="0070074D" w:rsidP="007007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</w:tr>
    </w:tbl>
    <w:p w:rsidR="0070074D" w:rsidRDefault="00994CD0" w:rsidP="00994CD0">
      <w:pPr>
        <w:pStyle w:val="ListParagraph"/>
      </w:pPr>
      <w:r>
        <w:t>Calculate a seasonal spline of the annual series using XLPBM</w:t>
      </w:r>
      <w:r w:rsidR="004561CA">
        <w:t xml:space="preserve"> (or BENCH)</w:t>
      </w:r>
      <w:r>
        <w:t xml:space="preserve">. </w:t>
      </w:r>
    </w:p>
    <w:p w:rsidR="00293795" w:rsidRDefault="0002712D" w:rsidP="00293795">
      <w:pPr>
        <w:pStyle w:val="ListParagraph"/>
        <w:numPr>
          <w:ilvl w:val="0"/>
          <w:numId w:val="4"/>
        </w:numPr>
      </w:pPr>
      <w:r>
        <w:t xml:space="preserve">Try using </w:t>
      </w:r>
      <w:proofErr w:type="spellStart"/>
      <w:r>
        <w:t>Cholette</w:t>
      </w:r>
      <w:r w:rsidR="00D44128">
        <w:t>-Dagum</w:t>
      </w:r>
      <w:proofErr w:type="spellEnd"/>
      <w:r w:rsidR="00D44128">
        <w:t xml:space="preserve"> m</w:t>
      </w:r>
      <w:r>
        <w:t>ethod.</w:t>
      </w:r>
    </w:p>
    <w:sectPr w:rsidR="00293795" w:rsidSect="0011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052"/>
    <w:multiLevelType w:val="hybridMultilevel"/>
    <w:tmpl w:val="7CE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F9A"/>
    <w:multiLevelType w:val="hybridMultilevel"/>
    <w:tmpl w:val="71A07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417D"/>
    <w:multiLevelType w:val="hybridMultilevel"/>
    <w:tmpl w:val="984AB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3169"/>
    <w:multiLevelType w:val="hybridMultilevel"/>
    <w:tmpl w:val="31CEF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795"/>
    <w:rsid w:val="0002712D"/>
    <w:rsid w:val="001143C7"/>
    <w:rsid w:val="00293795"/>
    <w:rsid w:val="00296C3D"/>
    <w:rsid w:val="002D72DB"/>
    <w:rsid w:val="00391915"/>
    <w:rsid w:val="004561CA"/>
    <w:rsid w:val="00633AFB"/>
    <w:rsid w:val="006554EB"/>
    <w:rsid w:val="0070074D"/>
    <w:rsid w:val="00700E77"/>
    <w:rsid w:val="00716F57"/>
    <w:rsid w:val="00787DDE"/>
    <w:rsid w:val="007977B5"/>
    <w:rsid w:val="00924686"/>
    <w:rsid w:val="00994CD0"/>
    <w:rsid w:val="00996C95"/>
    <w:rsid w:val="00B879AD"/>
    <w:rsid w:val="00C843CD"/>
    <w:rsid w:val="00D44128"/>
    <w:rsid w:val="00D7782A"/>
    <w:rsid w:val="00D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95"/>
    <w:pPr>
      <w:ind w:left="720"/>
      <w:contextualSpacing/>
    </w:pPr>
  </w:style>
  <w:style w:type="table" w:styleId="TableGrid">
    <w:name w:val="Table Grid"/>
    <w:basedOn w:val="TableNormal"/>
    <w:uiPriority w:val="39"/>
    <w:rsid w:val="0070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Youll</dc:creator>
  <cp:keywords/>
  <dc:description/>
  <cp:lastModifiedBy>Akritidis, Leonidas</cp:lastModifiedBy>
  <cp:revision>9</cp:revision>
  <dcterms:created xsi:type="dcterms:W3CDTF">2017-04-07T18:31:00Z</dcterms:created>
  <dcterms:modified xsi:type="dcterms:W3CDTF">2017-04-10T17:36:00Z</dcterms:modified>
</cp:coreProperties>
</file>